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E22F7" w14:textId="18D14772" w:rsidR="002E2F45" w:rsidRPr="002E5FEA" w:rsidRDefault="003E18CC" w:rsidP="002E2F45">
      <w:pPr>
        <w:jc w:val="center"/>
        <w:rPr>
          <w:rFonts w:ascii="Lucida Sans" w:hAnsi="Lucida Sans"/>
          <w:b/>
          <w:bCs/>
          <w:sz w:val="28"/>
          <w:szCs w:val="28"/>
        </w:rPr>
      </w:pPr>
      <w:r w:rsidRPr="002E5FEA">
        <w:rPr>
          <w:rFonts w:ascii="Lucida Sans" w:hAnsi="Lucida Sans"/>
          <w:b/>
          <w:bCs/>
          <w:sz w:val="28"/>
          <w:szCs w:val="28"/>
        </w:rPr>
        <w:t xml:space="preserve">El </w:t>
      </w:r>
      <w:r w:rsidR="00C630EB" w:rsidRPr="002E5FEA">
        <w:rPr>
          <w:rFonts w:ascii="Lucida Sans" w:hAnsi="Lucida Sans"/>
          <w:b/>
          <w:bCs/>
          <w:sz w:val="28"/>
          <w:szCs w:val="28"/>
        </w:rPr>
        <w:t>informe del Consejo Económico y Social refrenda la falta de viabilidad jurídica del proyecto de Real Decreto relativo al test de proporcionalidad</w:t>
      </w:r>
      <w:r w:rsidR="002E5FEA" w:rsidRPr="002E5FEA">
        <w:rPr>
          <w:rFonts w:ascii="Lucida Sans" w:hAnsi="Lucida Sans"/>
          <w:b/>
          <w:bCs/>
          <w:sz w:val="28"/>
          <w:szCs w:val="28"/>
        </w:rPr>
        <w:t xml:space="preserve"> expresada por el CGCOM</w:t>
      </w:r>
    </w:p>
    <w:p w14:paraId="2E6AD6B8" w14:textId="026B5F86" w:rsidR="003E18CC" w:rsidRPr="00766DBF" w:rsidRDefault="002E2F45" w:rsidP="00766DBF">
      <w:pPr>
        <w:pStyle w:val="Prrafodelista"/>
        <w:numPr>
          <w:ilvl w:val="0"/>
          <w:numId w:val="12"/>
        </w:numPr>
        <w:jc w:val="both"/>
        <w:rPr>
          <w:rFonts w:ascii="Lucida Sans" w:hAnsi="Lucida Sans"/>
          <w:b/>
          <w:bCs/>
        </w:rPr>
      </w:pPr>
      <w:r w:rsidRPr="00766DBF">
        <w:rPr>
          <w:rFonts w:ascii="Lucida Sans" w:hAnsi="Lucida Sans"/>
          <w:b/>
          <w:bCs/>
        </w:rPr>
        <w:t xml:space="preserve">Dr. Tomás Cobo </w:t>
      </w:r>
      <w:r w:rsidR="00766DBF" w:rsidRPr="00766DBF">
        <w:rPr>
          <w:rFonts w:ascii="Lucida Sans" w:hAnsi="Lucida Sans"/>
          <w:b/>
          <w:bCs/>
        </w:rPr>
        <w:t>“Los colegios de médicos son los únicos garantes del disfrute de prestaciones sanitarias en condiciones de solidaridad, ética y progreso en la formación y en la calidad asistencial</w:t>
      </w:r>
    </w:p>
    <w:p w14:paraId="1993C4CC" w14:textId="77777777" w:rsidR="00766DBF" w:rsidRPr="00766DBF" w:rsidRDefault="00766DBF" w:rsidP="00766DBF">
      <w:pPr>
        <w:pStyle w:val="Prrafodelista"/>
        <w:jc w:val="both"/>
        <w:rPr>
          <w:rFonts w:ascii="Lucida Sans" w:hAnsi="Lucida Sans"/>
          <w:b/>
          <w:bCs/>
        </w:rPr>
      </w:pPr>
    </w:p>
    <w:p w14:paraId="50DC4B8C" w14:textId="63313FA7" w:rsidR="00766DBF" w:rsidRPr="00766DBF" w:rsidRDefault="00766DBF" w:rsidP="00766DBF">
      <w:pPr>
        <w:pStyle w:val="Prrafodelista"/>
        <w:numPr>
          <w:ilvl w:val="0"/>
          <w:numId w:val="12"/>
        </w:numPr>
        <w:jc w:val="both"/>
        <w:rPr>
          <w:rFonts w:ascii="Lucida Sans" w:hAnsi="Lucida Sans"/>
          <w:b/>
          <w:bCs/>
        </w:rPr>
      </w:pPr>
      <w:r w:rsidRPr="00766DBF">
        <w:rPr>
          <w:rFonts w:ascii="Lucida Sans" w:hAnsi="Lucida Sans"/>
          <w:b/>
          <w:bCs/>
        </w:rPr>
        <w:t xml:space="preserve">Ricardo </w:t>
      </w:r>
      <w:r w:rsidR="00C815F6">
        <w:rPr>
          <w:rFonts w:ascii="Lucida Sans" w:hAnsi="Lucida Sans"/>
          <w:b/>
          <w:bCs/>
        </w:rPr>
        <w:t>D</w:t>
      </w:r>
      <w:r w:rsidRPr="00766DBF">
        <w:rPr>
          <w:rFonts w:ascii="Lucida Sans" w:hAnsi="Lucida Sans"/>
          <w:b/>
          <w:bCs/>
        </w:rPr>
        <w:t>e Lorenzo: “La iniciativa indicada modificatoria del Real Decreto 472/2021, no se ajusta a Derecho</w:t>
      </w:r>
      <w:r w:rsidR="0009795E">
        <w:rPr>
          <w:rFonts w:ascii="Lucida Sans" w:hAnsi="Lucida Sans"/>
          <w:b/>
          <w:bCs/>
        </w:rPr>
        <w:t xml:space="preserve"> y contradice la doctrina legal del Consejo de Estado</w:t>
      </w:r>
      <w:r w:rsidRPr="00766DBF">
        <w:rPr>
          <w:rFonts w:ascii="Lucida Sans" w:hAnsi="Lucida Sans"/>
          <w:b/>
          <w:bCs/>
        </w:rPr>
        <w:t>”</w:t>
      </w:r>
    </w:p>
    <w:p w14:paraId="71E3E177" w14:textId="77777777" w:rsidR="003E18CC" w:rsidRPr="003E18CC" w:rsidRDefault="003E18CC" w:rsidP="003E18CC">
      <w:pPr>
        <w:pStyle w:val="Prrafodelista"/>
        <w:jc w:val="both"/>
        <w:rPr>
          <w:rFonts w:ascii="Lucida Sans" w:hAnsi="Lucida Sans"/>
          <w:b/>
          <w:bCs/>
        </w:rPr>
      </w:pPr>
    </w:p>
    <w:p w14:paraId="195302F1" w14:textId="086AE1EB" w:rsidR="00C630EB" w:rsidRDefault="00C630EB" w:rsidP="00C630EB">
      <w:pPr>
        <w:jc w:val="both"/>
        <w:rPr>
          <w:rFonts w:ascii="Lucida Sans" w:hAnsi="Lucida Sans"/>
        </w:rPr>
      </w:pPr>
      <w:r>
        <w:rPr>
          <w:rFonts w:ascii="Lucida Sans" w:hAnsi="Lucida Sans"/>
        </w:rPr>
        <w:t>E</w:t>
      </w:r>
      <w:r w:rsidRPr="00C630EB">
        <w:rPr>
          <w:rFonts w:ascii="Lucida Sans" w:hAnsi="Lucida Sans"/>
        </w:rPr>
        <w:t xml:space="preserve">n relación con el Proyecto de Real Decreto por el que se modifica el Real Decreto 472/2021, de 29 de junio, por el que se incorpora al ordenamiento jurídico español la Directiva (UE) 2018/958, del Parlamento Europeo y del Consejo, de 28 de junio de 2018, relativa al test de proporcionalidad antes de adoptar nuevas regulaciones de profesiones, </w:t>
      </w:r>
      <w:r>
        <w:rPr>
          <w:rFonts w:ascii="Lucida Sans" w:hAnsi="Lucida Sans"/>
        </w:rPr>
        <w:t>el Consejo General de Médicos (CGCOM) manifiesta la coincidencia en las dudas jurídicas respecto a su viabilidad reflejadas en el reciente informe del Consejo Económico y Social (CES).</w:t>
      </w:r>
    </w:p>
    <w:p w14:paraId="203F48EE" w14:textId="51B7081D" w:rsidR="005F553D" w:rsidRDefault="00C630EB" w:rsidP="00C630EB">
      <w:pPr>
        <w:jc w:val="both"/>
        <w:rPr>
          <w:rFonts w:ascii="Lucida Sans" w:hAnsi="Lucida Sans"/>
        </w:rPr>
      </w:pPr>
      <w:r>
        <w:rPr>
          <w:rFonts w:ascii="Lucida Sans" w:hAnsi="Lucida Sans"/>
        </w:rPr>
        <w:t>A raíz de la publicación de</w:t>
      </w:r>
      <w:r w:rsidRPr="00C630EB">
        <w:rPr>
          <w:rFonts w:ascii="Lucida Sans" w:hAnsi="Lucida Sans"/>
        </w:rPr>
        <w:t xml:space="preserve"> </w:t>
      </w:r>
      <w:r>
        <w:rPr>
          <w:rFonts w:ascii="Lucida Sans" w:hAnsi="Lucida Sans"/>
        </w:rPr>
        <w:t>los</w:t>
      </w:r>
      <w:r w:rsidRPr="00C630EB">
        <w:rPr>
          <w:rFonts w:ascii="Lucida Sans" w:hAnsi="Lucida Sans"/>
        </w:rPr>
        <w:t xml:space="preserve"> informes del Consejo Económico y Social (CES) y de la Comisión Nacional de los Mercados y la Competencia (CNMC), </w:t>
      </w:r>
      <w:r w:rsidR="005F553D">
        <w:rPr>
          <w:rFonts w:ascii="Lucida Sans" w:hAnsi="Lucida Sans"/>
        </w:rPr>
        <w:t xml:space="preserve">el CGCOM reitera su rechazo a la atribución por parte de </w:t>
      </w:r>
      <w:r w:rsidRPr="00C630EB">
        <w:rPr>
          <w:rFonts w:ascii="Lucida Sans" w:hAnsi="Lucida Sans"/>
        </w:rPr>
        <w:t xml:space="preserve">la Comisión Nacional de los Mercados y la Competencia (CNMC), </w:t>
      </w:r>
      <w:r w:rsidR="005F553D">
        <w:rPr>
          <w:rFonts w:ascii="Lucida Sans" w:hAnsi="Lucida Sans"/>
        </w:rPr>
        <w:t xml:space="preserve">de </w:t>
      </w:r>
      <w:r w:rsidRPr="00C630EB">
        <w:rPr>
          <w:rFonts w:ascii="Lucida Sans" w:hAnsi="Lucida Sans"/>
        </w:rPr>
        <w:t>la evaluación previa a la aprobación de los Códigos Deontológicos de los Colegios Profesionales de ámbito nacional y de los Consejos Generales,</w:t>
      </w:r>
      <w:r w:rsidR="005F553D">
        <w:rPr>
          <w:rFonts w:ascii="Lucida Sans" w:hAnsi="Lucida Sans"/>
        </w:rPr>
        <w:t xml:space="preserve"> </w:t>
      </w:r>
      <w:r w:rsidRPr="00C630EB">
        <w:rPr>
          <w:rFonts w:ascii="Lucida Sans" w:hAnsi="Lucida Sans"/>
        </w:rPr>
        <w:t xml:space="preserve">que en el ámbito sanitario sería </w:t>
      </w:r>
      <w:r w:rsidR="005F553D">
        <w:rPr>
          <w:rFonts w:ascii="Lucida Sans" w:hAnsi="Lucida Sans"/>
        </w:rPr>
        <w:t>el Consejo General de Médicos.</w:t>
      </w:r>
    </w:p>
    <w:p w14:paraId="52E4C1BC" w14:textId="4B1C8ED1" w:rsidR="005F553D" w:rsidRDefault="005F553D" w:rsidP="00C630EB">
      <w:pPr>
        <w:jc w:val="both"/>
        <w:rPr>
          <w:rFonts w:ascii="Lucida Sans" w:hAnsi="Lucida Sans"/>
        </w:rPr>
      </w:pPr>
      <w:r w:rsidRPr="005F553D">
        <w:rPr>
          <w:rFonts w:ascii="Lucida Sans" w:hAnsi="Lucida Sans"/>
        </w:rPr>
        <w:t>El dictamen del CES</w:t>
      </w:r>
      <w:r>
        <w:rPr>
          <w:rFonts w:ascii="Lucida Sans" w:hAnsi="Lucida Sans"/>
        </w:rPr>
        <w:t xml:space="preserve"> </w:t>
      </w:r>
      <w:r w:rsidRPr="005F553D">
        <w:rPr>
          <w:rFonts w:ascii="Lucida Sans" w:hAnsi="Lucida Sans"/>
        </w:rPr>
        <w:t xml:space="preserve">manifiesta una posición crítica alineada con las alegaciones previas </w:t>
      </w:r>
      <w:r w:rsidR="0009795E">
        <w:rPr>
          <w:rFonts w:ascii="Lucida Sans" w:hAnsi="Lucida Sans"/>
        </w:rPr>
        <w:t>realizadas por el</w:t>
      </w:r>
      <w:r>
        <w:rPr>
          <w:rFonts w:ascii="Lucida Sans" w:hAnsi="Lucida Sans"/>
        </w:rPr>
        <w:t xml:space="preserve"> CGCOM</w:t>
      </w:r>
      <w:r w:rsidRPr="005F553D">
        <w:rPr>
          <w:rFonts w:ascii="Lucida Sans" w:hAnsi="Lucida Sans"/>
        </w:rPr>
        <w:t>, en particular en cuanto se refiere a</w:t>
      </w:r>
      <w:r>
        <w:rPr>
          <w:rFonts w:ascii="Lucida Sans" w:hAnsi="Lucida Sans"/>
        </w:rPr>
        <w:t xml:space="preserve"> </w:t>
      </w:r>
      <w:r w:rsidR="0009795E">
        <w:rPr>
          <w:rFonts w:ascii="Lucida Sans" w:hAnsi="Lucida Sans"/>
        </w:rPr>
        <w:t xml:space="preserve">los siguientes </w:t>
      </w:r>
      <w:r>
        <w:rPr>
          <w:rFonts w:ascii="Lucida Sans" w:hAnsi="Lucida Sans"/>
        </w:rPr>
        <w:t>aspectos:</w:t>
      </w:r>
    </w:p>
    <w:p w14:paraId="5C56492A" w14:textId="3D6780E9" w:rsidR="005F553D" w:rsidRDefault="005F553D" w:rsidP="005F553D">
      <w:pPr>
        <w:pStyle w:val="Prrafodelista"/>
        <w:numPr>
          <w:ilvl w:val="0"/>
          <w:numId w:val="12"/>
        </w:numPr>
        <w:jc w:val="both"/>
        <w:rPr>
          <w:rFonts w:ascii="Lucida Sans" w:hAnsi="Lucida Sans"/>
        </w:rPr>
      </w:pPr>
      <w:r>
        <w:rPr>
          <w:rFonts w:ascii="Lucida Sans" w:hAnsi="Lucida Sans"/>
        </w:rPr>
        <w:t>L</w:t>
      </w:r>
      <w:r w:rsidRPr="005F553D">
        <w:rPr>
          <w:rFonts w:ascii="Lucida Sans" w:hAnsi="Lucida Sans"/>
        </w:rPr>
        <w:t>os códigos deontológicos no pueden establecer limitaciones ajenas a los deberes éticos de la praxis profesional</w:t>
      </w:r>
    </w:p>
    <w:p w14:paraId="2F6C9C37" w14:textId="77777777" w:rsidR="005F553D" w:rsidRDefault="005F553D" w:rsidP="005F553D">
      <w:pPr>
        <w:pStyle w:val="Prrafodelista"/>
        <w:jc w:val="both"/>
        <w:rPr>
          <w:rFonts w:ascii="Lucida Sans" w:hAnsi="Lucida Sans"/>
        </w:rPr>
      </w:pPr>
    </w:p>
    <w:p w14:paraId="619B4D81" w14:textId="77777777" w:rsidR="005F553D" w:rsidRDefault="005F553D" w:rsidP="005F553D">
      <w:pPr>
        <w:pStyle w:val="Prrafodelista"/>
        <w:numPr>
          <w:ilvl w:val="0"/>
          <w:numId w:val="12"/>
        </w:numPr>
        <w:jc w:val="both"/>
        <w:rPr>
          <w:rFonts w:ascii="Lucida Sans" w:hAnsi="Lucida Sans"/>
        </w:rPr>
      </w:pPr>
      <w:r>
        <w:rPr>
          <w:rFonts w:ascii="Lucida Sans" w:hAnsi="Lucida Sans"/>
        </w:rPr>
        <w:t>E</w:t>
      </w:r>
      <w:r w:rsidRPr="005F553D">
        <w:rPr>
          <w:rFonts w:ascii="Lucida Sans" w:hAnsi="Lucida Sans"/>
        </w:rPr>
        <w:t xml:space="preserve">l test de proporcionalidad solo es exigible a las “autoridades competentes para la regulación”, cualidad que no tienen los Colegios Profesionales ni los Consejos Generales. </w:t>
      </w:r>
    </w:p>
    <w:p w14:paraId="1DF93771" w14:textId="77777777" w:rsidR="005F553D" w:rsidRPr="005F553D" w:rsidRDefault="005F553D" w:rsidP="005F553D">
      <w:pPr>
        <w:pStyle w:val="Prrafodelista"/>
        <w:rPr>
          <w:rFonts w:ascii="Lucida Sans" w:hAnsi="Lucida Sans"/>
        </w:rPr>
      </w:pPr>
    </w:p>
    <w:p w14:paraId="2FED7491" w14:textId="641DC83F" w:rsidR="00C630EB" w:rsidRDefault="005F553D" w:rsidP="005F553D">
      <w:pPr>
        <w:jc w:val="both"/>
        <w:rPr>
          <w:rFonts w:ascii="Lucida Sans" w:hAnsi="Lucida Sans"/>
        </w:rPr>
      </w:pPr>
      <w:r>
        <w:rPr>
          <w:rFonts w:ascii="Lucida Sans" w:hAnsi="Lucida Sans"/>
        </w:rPr>
        <w:t xml:space="preserve">Todo ello, genera dudas al CES tal y como </w:t>
      </w:r>
      <w:r w:rsidR="00766DBF">
        <w:rPr>
          <w:rFonts w:ascii="Lucida Sans" w:hAnsi="Lucida Sans"/>
        </w:rPr>
        <w:t>expresa de manera explícita</w:t>
      </w:r>
      <w:r>
        <w:rPr>
          <w:rFonts w:ascii="Lucida Sans" w:hAnsi="Lucida Sans"/>
        </w:rPr>
        <w:t xml:space="preserve"> en su informe</w:t>
      </w:r>
      <w:r w:rsidRPr="005F553D">
        <w:rPr>
          <w:rFonts w:ascii="Lucida Sans" w:hAnsi="Lucida Sans"/>
        </w:rPr>
        <w:t xml:space="preserve"> </w:t>
      </w:r>
      <w:r>
        <w:rPr>
          <w:rFonts w:ascii="Lucida Sans" w:hAnsi="Lucida Sans"/>
        </w:rPr>
        <w:t>en referencia a</w:t>
      </w:r>
      <w:r w:rsidRPr="005F553D">
        <w:rPr>
          <w:rFonts w:ascii="Lucida Sans" w:hAnsi="Lucida Sans"/>
        </w:rPr>
        <w:t xml:space="preserve"> la “idoneidad” de la aplicación al supuesto contemplado en el proyecto; “…suscita algunas dudas al Consejo que, además de la ausencia de la mencionada carta de emplazamiento de la Comisión Europea, tienen su origen en la propia inconcreción en el Real Decreto del concepto de “autoridades competentes para la regulación”, lastrando el contenido de la norma.”; además de juzgar insuficiente la justificación del Ministerio proponent</w:t>
      </w:r>
      <w:r>
        <w:rPr>
          <w:rFonts w:ascii="Lucida Sans" w:hAnsi="Lucida Sans"/>
        </w:rPr>
        <w:t>e.</w:t>
      </w:r>
    </w:p>
    <w:p w14:paraId="2E0F1D03" w14:textId="456DC899" w:rsidR="00766DBF" w:rsidRDefault="00766DBF" w:rsidP="005F553D">
      <w:pPr>
        <w:jc w:val="both"/>
        <w:rPr>
          <w:rFonts w:ascii="Lucida Sans" w:hAnsi="Lucida Sans"/>
        </w:rPr>
      </w:pPr>
      <w:r>
        <w:rPr>
          <w:rFonts w:ascii="Lucida Sans" w:hAnsi="Lucida Sans"/>
        </w:rPr>
        <w:t>F</w:t>
      </w:r>
      <w:r w:rsidRPr="00766DBF">
        <w:rPr>
          <w:rFonts w:ascii="Lucida Sans" w:hAnsi="Lucida Sans"/>
        </w:rPr>
        <w:t>inalmente, la suerte y contenido final del proyecto dependerá con bastante probabilidad del pronunciamiento del Consejo de Estado, cuyo informe es preceptivo y no obstante su carácter no vinculante.</w:t>
      </w:r>
    </w:p>
    <w:p w14:paraId="0DDC7B48" w14:textId="1075A853" w:rsidR="00766DBF" w:rsidRDefault="00766DBF" w:rsidP="005F553D">
      <w:pPr>
        <w:jc w:val="both"/>
        <w:rPr>
          <w:rFonts w:ascii="Lucida Sans" w:hAnsi="Lucida Sans"/>
        </w:rPr>
      </w:pPr>
      <w:r>
        <w:rPr>
          <w:rFonts w:ascii="Lucida Sans" w:hAnsi="Lucida Sans"/>
        </w:rPr>
        <w:lastRenderedPageBreak/>
        <w:t>El presidente del Consejo General de Médicos, Dr. Tomás Cobo, subraya que “l</w:t>
      </w:r>
      <w:r w:rsidRPr="00766DBF">
        <w:rPr>
          <w:rFonts w:ascii="Lucida Sans" w:hAnsi="Lucida Sans"/>
        </w:rPr>
        <w:t>a presencia de los Colegios Profesionales en una sanidad global es irrenunciable. Y lo es porque la salud es un bien que resiste a contemplaciones objetivas de cambio de bienes y servicios y se enuncia en términos de bienestar físico y social que reclaman enunciarse desde premisas de ética y solidaridad, como corresponde a un derecho anclado en la dignidad de la persona. Al margen del papel normativo de las Administraciones Públicas en la garantía del acceso a las prestaciones de los sistemas asistenciales públicos, la persecución del bien salud requiere unas condiciones de confianza entre los actores sociales y de avance en las condiciones de los profesionales que lo proveen, que determinan que sean los Colegios los únicos garantes del disfrute de prestaciones sanitarias en condiciones de solidaridad, ética y progreso en la formación y en la calidad asistencial</w:t>
      </w:r>
      <w:r>
        <w:rPr>
          <w:rFonts w:ascii="Lucida Sans" w:hAnsi="Lucida Sans"/>
        </w:rPr>
        <w:t xml:space="preserve">”. </w:t>
      </w:r>
    </w:p>
    <w:p w14:paraId="4EEA5C48" w14:textId="4B8F4248" w:rsidR="00766DBF" w:rsidRPr="005F553D" w:rsidRDefault="00766DBF" w:rsidP="005F553D">
      <w:pPr>
        <w:jc w:val="both"/>
        <w:rPr>
          <w:rFonts w:ascii="Lucida Sans" w:hAnsi="Lucida Sans"/>
        </w:rPr>
      </w:pPr>
      <w:r>
        <w:rPr>
          <w:rFonts w:ascii="Lucida Sans" w:hAnsi="Lucida Sans"/>
        </w:rPr>
        <w:t xml:space="preserve">Por otra parte, Ricardo </w:t>
      </w:r>
      <w:r w:rsidR="00C815F6">
        <w:rPr>
          <w:rFonts w:ascii="Lucida Sans" w:hAnsi="Lucida Sans"/>
        </w:rPr>
        <w:t>D</w:t>
      </w:r>
      <w:r>
        <w:rPr>
          <w:rFonts w:ascii="Lucida Sans" w:hAnsi="Lucida Sans"/>
        </w:rPr>
        <w:t>e Lorenzo, director de los servicios jurídicos de la corporación recalca que “l</w:t>
      </w:r>
      <w:r w:rsidRPr="00766DBF">
        <w:rPr>
          <w:rFonts w:ascii="Lucida Sans" w:hAnsi="Lucida Sans"/>
        </w:rPr>
        <w:t>a iniciativa indicada modificatoria del Real Decreto 472/2021, no se ajusta a Derecho. Ni los Códigos Deontológicos en general, ni el de la Organización Médica Colegial -de reciente aprobación</w:t>
      </w:r>
      <w:r>
        <w:rPr>
          <w:rFonts w:ascii="Lucida Sans" w:hAnsi="Lucida Sans"/>
        </w:rPr>
        <w:t xml:space="preserve"> (2022)</w:t>
      </w:r>
      <w:r w:rsidRPr="00766DBF">
        <w:rPr>
          <w:rFonts w:ascii="Lucida Sans" w:hAnsi="Lucida Sans"/>
        </w:rPr>
        <w:t>- en particular, tienen la consideración de “disposiciones legales o reglamentarias que introduzcan o modifiquen requisitos para el ejercicio de las profesiones reguladas o su ejercicio” que deban ser sometidas durante su proceso de elaboración a una evaluación previa de proporcionalidad con arreglo al Real Decreto 472/2021. Ni tampoco los Colegios Oficiales de Médicos ni la OMC tienen la condición de “autoridades competentes para la regulación” de conformidad asimismo con dicho Reglamento. Extremos ambos que ha avalado expresamente el Consejo de Estado</w:t>
      </w:r>
      <w:r>
        <w:rPr>
          <w:rFonts w:ascii="Lucida Sans" w:hAnsi="Lucida Sans"/>
        </w:rPr>
        <w:t>”.</w:t>
      </w:r>
    </w:p>
    <w:p w14:paraId="1529ACB7" w14:textId="77777777" w:rsidR="00C630EB" w:rsidRDefault="00C630EB" w:rsidP="00C630EB">
      <w:pPr>
        <w:jc w:val="both"/>
        <w:rPr>
          <w:rFonts w:ascii="Lucida Sans" w:hAnsi="Lucida Sans"/>
        </w:rPr>
      </w:pPr>
    </w:p>
    <w:p w14:paraId="0BDACBE0" w14:textId="439DBB5D" w:rsidR="00352FA2" w:rsidRPr="00880EEA" w:rsidRDefault="00352FA2" w:rsidP="005F553D">
      <w:pPr>
        <w:jc w:val="right"/>
        <w:rPr>
          <w:rFonts w:ascii="Lucida Sans" w:hAnsi="Lucida Sans" w:cs="Arial"/>
        </w:rPr>
      </w:pPr>
      <w:r w:rsidRPr="00880EEA">
        <w:rPr>
          <w:rFonts w:ascii="Lucida Sans" w:hAnsi="Lucida Sans"/>
        </w:rPr>
        <w:t xml:space="preserve">Madrid, </w:t>
      </w:r>
      <w:r w:rsidR="00C630EB">
        <w:rPr>
          <w:rFonts w:ascii="Lucida Sans" w:hAnsi="Lucida Sans"/>
        </w:rPr>
        <w:t>30</w:t>
      </w:r>
      <w:r w:rsidR="003E18CC">
        <w:rPr>
          <w:rFonts w:ascii="Lucida Sans" w:hAnsi="Lucida Sans"/>
        </w:rPr>
        <w:t xml:space="preserve"> de </w:t>
      </w:r>
      <w:r w:rsidR="00C630EB">
        <w:rPr>
          <w:rFonts w:ascii="Lucida Sans" w:hAnsi="Lucida Sans"/>
        </w:rPr>
        <w:t>enero de 2024</w:t>
      </w:r>
    </w:p>
    <w:sectPr w:rsidR="00352FA2" w:rsidRPr="00880EEA" w:rsidSect="00AD1B4C">
      <w:headerReference w:type="default" r:id="rId8"/>
      <w:footerReference w:type="default" r:id="rId9"/>
      <w:pgSz w:w="11906" w:h="16838"/>
      <w:pgMar w:top="1843" w:right="1701" w:bottom="1418"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FC5B1" w14:textId="77777777" w:rsidR="00AD1B4C" w:rsidRDefault="00AD1B4C" w:rsidP="00BD1232">
      <w:pPr>
        <w:spacing w:after="0" w:line="240" w:lineRule="auto"/>
      </w:pPr>
      <w:r>
        <w:separator/>
      </w:r>
    </w:p>
  </w:endnote>
  <w:endnote w:type="continuationSeparator" w:id="0">
    <w:p w14:paraId="398C6CAD" w14:textId="77777777" w:rsidR="00AD1B4C" w:rsidRDefault="00AD1B4C" w:rsidP="00BD1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 w:name="Titillium Web">
    <w:altName w:val="Titillium Web"/>
    <w:charset w:val="00"/>
    <w:family w:val="auto"/>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A9A05" w14:textId="77777777" w:rsidR="00AE5264" w:rsidRDefault="00AE5264" w:rsidP="00AE5264">
    <w:pPr>
      <w:pStyle w:val="Piedepgina"/>
      <w:pBdr>
        <w:top w:val="single" w:sz="4" w:space="0" w:color="A5A5A5"/>
      </w:pBdr>
      <w:jc w:val="center"/>
      <w:rPr>
        <w:color w:val="7F7F7F"/>
        <w:sz w:val="16"/>
        <w:szCs w:val="16"/>
      </w:rPr>
    </w:pPr>
    <w:r>
      <w:rPr>
        <w:color w:val="7F7F7F"/>
        <w:sz w:val="16"/>
        <w:szCs w:val="16"/>
      </w:rPr>
      <w:t xml:space="preserve">Plaza de las Cortes, 11- 28014 Madrid - Departamento de Comunicación - prensa@cgcom.es - Telf.: 91 431 77 80 Ext. 5 </w:t>
    </w:r>
  </w:p>
  <w:p w14:paraId="67C38DAD" w14:textId="77777777" w:rsidR="00AE5264" w:rsidRDefault="00AE5264" w:rsidP="00AE5264">
    <w:pPr>
      <w:pStyle w:val="Piedepgina"/>
      <w:pBdr>
        <w:top w:val="single" w:sz="4" w:space="0" w:color="A5A5A5"/>
      </w:pBdr>
      <w:jc w:val="center"/>
      <w:rPr>
        <w:color w:val="7F7F7F"/>
        <w:sz w:val="18"/>
        <w:szCs w:val="18"/>
      </w:rPr>
    </w:pPr>
    <w:r>
      <w:rPr>
        <w:noProof/>
      </w:rPr>
      <w:drawing>
        <wp:inline distT="0" distB="0" distL="0" distR="0" wp14:anchorId="541F1A36" wp14:editId="483D66D4">
          <wp:extent cx="228600" cy="228600"/>
          <wp:effectExtent l="0" t="0" r="0" b="0"/>
          <wp:docPr id="50" name="Imagen 708" descr="Facebook">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708" descr="Facebook">
                    <a:hlinkClick r:id="rId1"/>
                  </pic:cNvPr>
                  <pic:cNvPicPr>
                    <a:picLocks noChangeAspect="1" noChangeArrowheads="1"/>
                  </pic:cNvPicPr>
                </pic:nvPicPr>
                <pic:blipFill>
                  <a:blip r:embed="rId2"/>
                  <a:stretch>
                    <a:fillRect/>
                  </a:stretch>
                </pic:blipFill>
                <pic:spPr bwMode="auto">
                  <a:xfrm>
                    <a:off x="0" y="0"/>
                    <a:ext cx="228600" cy="228600"/>
                  </a:xfrm>
                  <a:prstGeom prst="rect">
                    <a:avLst/>
                  </a:prstGeom>
                </pic:spPr>
              </pic:pic>
            </a:graphicData>
          </a:graphic>
        </wp:inline>
      </w:drawing>
    </w:r>
    <w:r>
      <w:rPr>
        <w:noProof/>
      </w:rPr>
      <w:drawing>
        <wp:inline distT="0" distB="0" distL="0" distR="0" wp14:anchorId="769EAB5A" wp14:editId="4020A1D1">
          <wp:extent cx="228600" cy="228600"/>
          <wp:effectExtent l="0" t="0" r="0" b="0"/>
          <wp:docPr id="51" name="Imagen 709" descr="Twitter">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709" descr="Twitter">
                    <a:hlinkClick r:id="rId3"/>
                  </pic:cNvPr>
                  <pic:cNvPicPr>
                    <a:picLocks noChangeAspect="1" noChangeArrowheads="1"/>
                  </pic:cNvPicPr>
                </pic:nvPicPr>
                <pic:blipFill>
                  <a:blip r:embed="rId4"/>
                  <a:stretch>
                    <a:fillRect/>
                  </a:stretch>
                </pic:blipFill>
                <pic:spPr bwMode="auto">
                  <a:xfrm>
                    <a:off x="0" y="0"/>
                    <a:ext cx="228600" cy="228600"/>
                  </a:xfrm>
                  <a:prstGeom prst="rect">
                    <a:avLst/>
                  </a:prstGeom>
                </pic:spPr>
              </pic:pic>
            </a:graphicData>
          </a:graphic>
        </wp:inline>
      </w:drawing>
    </w:r>
    <w:r>
      <w:rPr>
        <w:noProof/>
      </w:rPr>
      <w:drawing>
        <wp:inline distT="0" distB="0" distL="0" distR="0" wp14:anchorId="3EECAE29" wp14:editId="18E22F91">
          <wp:extent cx="215900" cy="215900"/>
          <wp:effectExtent l="0" t="0" r="0" b="0"/>
          <wp:docPr id="52" name="Imagen 714" descr="Instagram">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714" descr="Instagram">
                    <a:hlinkClick r:id="rId5"/>
                  </pic:cNvPr>
                  <pic:cNvPicPr>
                    <a:picLocks noChangeAspect="1" noChangeArrowheads="1"/>
                  </pic:cNvPicPr>
                </pic:nvPicPr>
                <pic:blipFill>
                  <a:blip r:embed="rId6"/>
                  <a:stretch>
                    <a:fillRect/>
                  </a:stretch>
                </pic:blipFill>
                <pic:spPr bwMode="auto">
                  <a:xfrm>
                    <a:off x="0" y="0"/>
                    <a:ext cx="215900" cy="215900"/>
                  </a:xfrm>
                  <a:prstGeom prst="rect">
                    <a:avLst/>
                  </a:prstGeom>
                </pic:spPr>
              </pic:pic>
            </a:graphicData>
          </a:graphic>
        </wp:inline>
      </w:drawing>
    </w:r>
    <w:r>
      <w:rPr>
        <w:noProof/>
      </w:rPr>
      <w:drawing>
        <wp:inline distT="0" distB="0" distL="0" distR="0" wp14:anchorId="38478AE5" wp14:editId="2BA83607">
          <wp:extent cx="215900" cy="215900"/>
          <wp:effectExtent l="0" t="0" r="0" b="0"/>
          <wp:docPr id="53" name="Imagen 710" descr="Youtub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710" descr="Youtube">
                    <a:hlinkClick r:id="rId7"/>
                  </pic:cNvPr>
                  <pic:cNvPicPr>
                    <a:picLocks noChangeAspect="1" noChangeArrowheads="1"/>
                  </pic:cNvPicPr>
                </pic:nvPicPr>
                <pic:blipFill>
                  <a:blip r:embed="rId8"/>
                  <a:stretch>
                    <a:fillRect/>
                  </a:stretch>
                </pic:blipFill>
                <pic:spPr bwMode="auto">
                  <a:xfrm>
                    <a:off x="0" y="0"/>
                    <a:ext cx="215900" cy="215900"/>
                  </a:xfrm>
                  <a:prstGeom prst="rect">
                    <a:avLst/>
                  </a:prstGeom>
                </pic:spPr>
              </pic:pic>
            </a:graphicData>
          </a:graphic>
        </wp:inline>
      </w:drawing>
    </w:r>
    <w:r>
      <w:rPr>
        <w:noProof/>
      </w:rPr>
      <w:drawing>
        <wp:inline distT="0" distB="0" distL="0" distR="0" wp14:anchorId="6F2D8547" wp14:editId="405EF3B9">
          <wp:extent cx="215900" cy="215900"/>
          <wp:effectExtent l="0" t="0" r="0" b="0"/>
          <wp:docPr id="54" name="Imagen 712" descr="https://image.freepik.com/iconos-gratis/boton-del-logotipo-linkedin_318-84979.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12" descr="https://image.freepik.com/iconos-gratis/boton-del-logotipo-linkedin_318-84979.png">
                    <a:hlinkClick r:id="rId9"/>
                  </pic:cNvPr>
                  <pic:cNvPicPr>
                    <a:picLocks noChangeAspect="1" noChangeArrowheads="1"/>
                  </pic:cNvPicPr>
                </pic:nvPicPr>
                <pic:blipFill>
                  <a:blip r:embed="rId10"/>
                  <a:stretch>
                    <a:fillRect/>
                  </a:stretch>
                </pic:blipFill>
                <pic:spPr bwMode="auto">
                  <a:xfrm>
                    <a:off x="0" y="0"/>
                    <a:ext cx="215900" cy="215900"/>
                  </a:xfrm>
                  <a:prstGeom prst="rect">
                    <a:avLst/>
                  </a:prstGeom>
                </pic:spPr>
              </pic:pic>
            </a:graphicData>
          </a:graphic>
        </wp:inline>
      </w:drawing>
    </w:r>
    <w:r>
      <w:rPr>
        <w:noProof/>
      </w:rPr>
      <w:drawing>
        <wp:inline distT="0" distB="0" distL="0" distR="0" wp14:anchorId="15B8CEA9" wp14:editId="6DDCE3B0">
          <wp:extent cx="215900" cy="215900"/>
          <wp:effectExtent l="0" t="0" r="0" b="0"/>
          <wp:docPr id="55" name="Imagen 713" descr="http://www.esmaltespermanentes.com/img/cms/whatsapp-neg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13" descr="http://www.esmaltespermanentes.com/img/cms/whatsapp-negro.png"/>
                  <pic:cNvPicPr>
                    <a:picLocks noChangeAspect="1" noChangeArrowheads="1"/>
                  </pic:cNvPicPr>
                </pic:nvPicPr>
                <pic:blipFill>
                  <a:blip r:embed="rId11"/>
                  <a:stretch>
                    <a:fillRect/>
                  </a:stretch>
                </pic:blipFill>
                <pic:spPr bwMode="auto">
                  <a:xfrm>
                    <a:off x="0" y="0"/>
                    <a:ext cx="215900" cy="215900"/>
                  </a:xfrm>
                  <a:prstGeom prst="rect">
                    <a:avLst/>
                  </a:prstGeom>
                </pic:spPr>
              </pic:pic>
            </a:graphicData>
          </a:graphic>
        </wp:inline>
      </w:drawing>
    </w:r>
    <w:r>
      <w:rPr>
        <w:noProof/>
      </w:rPr>
      <w:drawing>
        <wp:inline distT="0" distB="0" distL="0" distR="0" wp14:anchorId="4E17BCEA" wp14:editId="7FB73F16">
          <wp:extent cx="215900" cy="215900"/>
          <wp:effectExtent l="0" t="0" r="0" b="0"/>
          <wp:docPr id="56" name="Imagen 715" descr="Iconos De Equipo, Logotipo, En Blanco Y Negro imagen png - imagen  transparente descarga gratu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715" descr="Iconos De Equipo, Logotipo, En Blanco Y Negro imagen png - imagen  transparente descarga gratuita"/>
                  <pic:cNvPicPr>
                    <a:picLocks noChangeAspect="1" noChangeArrowheads="1"/>
                  </pic:cNvPicPr>
                </pic:nvPicPr>
                <pic:blipFill>
                  <a:blip r:embed="rId12"/>
                  <a:stretch>
                    <a:fillRect/>
                  </a:stretch>
                </pic:blipFill>
                <pic:spPr bwMode="auto">
                  <a:xfrm>
                    <a:off x="0" y="0"/>
                    <a:ext cx="215900" cy="215900"/>
                  </a:xfrm>
                  <a:prstGeom prst="rect">
                    <a:avLst/>
                  </a:prstGeom>
                </pic:spPr>
              </pic:pic>
            </a:graphicData>
          </a:graphic>
        </wp:inline>
      </w:drawing>
    </w:r>
  </w:p>
  <w:p w14:paraId="0084783B" w14:textId="77777777" w:rsidR="00DA0762" w:rsidRDefault="00DA076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2F413" w14:textId="77777777" w:rsidR="00AD1B4C" w:rsidRDefault="00AD1B4C" w:rsidP="00BD1232">
      <w:pPr>
        <w:spacing w:after="0" w:line="240" w:lineRule="auto"/>
      </w:pPr>
      <w:r>
        <w:separator/>
      </w:r>
    </w:p>
  </w:footnote>
  <w:footnote w:type="continuationSeparator" w:id="0">
    <w:p w14:paraId="33EA0C81" w14:textId="77777777" w:rsidR="00AD1B4C" w:rsidRDefault="00AD1B4C" w:rsidP="00BD12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1FA2F" w14:textId="77777777" w:rsidR="00BD1232" w:rsidRDefault="00DA0762" w:rsidP="00DA0762">
    <w:pPr>
      <w:pStyle w:val="Encabezado"/>
      <w:ind w:left="-567"/>
    </w:pPr>
    <w:r>
      <w:rPr>
        <w:noProof/>
        <w:lang w:eastAsia="es-ES"/>
      </w:rPr>
      <w:ptab w:relativeTo="margin" w:alignment="left" w:leader="none"/>
    </w:r>
    <w:r w:rsidR="00AA4B57">
      <w:rPr>
        <w:noProof/>
        <w:lang w:eastAsia="es-ES"/>
      </w:rPr>
      <w:drawing>
        <wp:inline distT="0" distB="0" distL="0" distR="0" wp14:anchorId="7CDAA381" wp14:editId="6ABF973A">
          <wp:extent cx="5389200" cy="1094400"/>
          <wp:effectExtent l="0" t="0" r="2540" b="0"/>
          <wp:docPr id="127" name="Imagen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mc_consejo_principal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89200" cy="109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3A25"/>
    <w:multiLevelType w:val="hybridMultilevel"/>
    <w:tmpl w:val="D5584D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2520E2F"/>
    <w:multiLevelType w:val="hybridMultilevel"/>
    <w:tmpl w:val="FFFFFFFF"/>
    <w:numStyleLink w:val="Estiloimportado1"/>
  </w:abstractNum>
  <w:abstractNum w:abstractNumId="2" w15:restartNumberingAfterBreak="0">
    <w:nsid w:val="1CC1445C"/>
    <w:multiLevelType w:val="hybridMultilevel"/>
    <w:tmpl w:val="D638CCF4"/>
    <w:lvl w:ilvl="0" w:tplc="3156FF7C">
      <w:numFmt w:val="bullet"/>
      <w:lvlText w:val="-"/>
      <w:lvlJc w:val="left"/>
      <w:pPr>
        <w:ind w:left="720" w:hanging="360"/>
      </w:pPr>
      <w:rPr>
        <w:rFonts w:ascii="Lucida Sans" w:eastAsiaTheme="minorHAnsi" w:hAnsi="Lucida San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754693"/>
    <w:multiLevelType w:val="hybridMultilevel"/>
    <w:tmpl w:val="7F28B1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4A60428"/>
    <w:multiLevelType w:val="hybridMultilevel"/>
    <w:tmpl w:val="C686ACD8"/>
    <w:lvl w:ilvl="0" w:tplc="F00C9558">
      <w:numFmt w:val="bullet"/>
      <w:lvlText w:val="-"/>
      <w:lvlJc w:val="left"/>
      <w:pPr>
        <w:ind w:left="644" w:hanging="360"/>
      </w:pPr>
      <w:rPr>
        <w:rFonts w:ascii="Lucida Sans" w:eastAsia="Calibri" w:hAnsi="Lucida Sans"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5" w15:restartNumberingAfterBreak="0">
    <w:nsid w:val="3A587469"/>
    <w:multiLevelType w:val="hybridMultilevel"/>
    <w:tmpl w:val="60CE21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BBC094A"/>
    <w:multiLevelType w:val="hybridMultilevel"/>
    <w:tmpl w:val="43C439DE"/>
    <w:lvl w:ilvl="0" w:tplc="CD1C37FC">
      <w:numFmt w:val="bullet"/>
      <w:lvlText w:val="-"/>
      <w:lvlJc w:val="left"/>
      <w:pPr>
        <w:ind w:left="720" w:hanging="360"/>
      </w:pPr>
      <w:rPr>
        <w:rFonts w:ascii="Lucida Sans" w:eastAsiaTheme="minorHAnsi" w:hAnsi="Lucida San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CEE65BD"/>
    <w:multiLevelType w:val="hybridMultilevel"/>
    <w:tmpl w:val="C1FEBC66"/>
    <w:lvl w:ilvl="0" w:tplc="CB82D764">
      <w:numFmt w:val="bullet"/>
      <w:lvlText w:val=""/>
      <w:lvlJc w:val="left"/>
      <w:pPr>
        <w:ind w:left="1080" w:hanging="360"/>
      </w:pPr>
      <w:rPr>
        <w:rFonts w:ascii="Symbol" w:eastAsiaTheme="minorHAnsi" w:hAnsi="Symbol"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15:restartNumberingAfterBreak="0">
    <w:nsid w:val="5E89696B"/>
    <w:multiLevelType w:val="hybridMultilevel"/>
    <w:tmpl w:val="C21AE670"/>
    <w:lvl w:ilvl="0" w:tplc="FF282BC6">
      <w:numFmt w:val="bullet"/>
      <w:lvlText w:val=""/>
      <w:lvlJc w:val="left"/>
      <w:pPr>
        <w:ind w:left="720" w:hanging="360"/>
      </w:pPr>
      <w:rPr>
        <w:rFonts w:ascii="Symbol" w:eastAsia="Arial Unicode MS" w:hAnsi="Symbol" w:cs="Arial Unicode M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20C2A73"/>
    <w:multiLevelType w:val="hybridMultilevel"/>
    <w:tmpl w:val="602ABA34"/>
    <w:lvl w:ilvl="0" w:tplc="A0F8C6FC">
      <w:numFmt w:val="bullet"/>
      <w:lvlText w:val="-"/>
      <w:lvlJc w:val="left"/>
      <w:pPr>
        <w:ind w:left="720" w:hanging="360"/>
      </w:pPr>
      <w:rPr>
        <w:rFonts w:ascii="Lucida Sans" w:eastAsiaTheme="minorHAnsi" w:hAnsi="Lucida San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B9467D1"/>
    <w:multiLevelType w:val="hybridMultilevel"/>
    <w:tmpl w:val="33F005C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15:restartNumberingAfterBreak="0">
    <w:nsid w:val="7ED205AA"/>
    <w:multiLevelType w:val="hybridMultilevel"/>
    <w:tmpl w:val="FFFFFFFF"/>
    <w:styleLink w:val="Estiloimportado1"/>
    <w:lvl w:ilvl="0" w:tplc="DA0A2E4C">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00200F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3C01320">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1A2A202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6A8723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A1630C6">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82D4897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B84969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5966BF0">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2065441747">
    <w:abstractNumId w:val="10"/>
  </w:num>
  <w:num w:numId="2" w16cid:durableId="119228322">
    <w:abstractNumId w:val="2"/>
  </w:num>
  <w:num w:numId="3" w16cid:durableId="1441952785">
    <w:abstractNumId w:val="6"/>
  </w:num>
  <w:num w:numId="4" w16cid:durableId="1826042053">
    <w:abstractNumId w:val="4"/>
  </w:num>
  <w:num w:numId="5" w16cid:durableId="1175607995">
    <w:abstractNumId w:val="9"/>
  </w:num>
  <w:num w:numId="6" w16cid:durableId="2113284199">
    <w:abstractNumId w:val="3"/>
  </w:num>
  <w:num w:numId="7" w16cid:durableId="1127315486">
    <w:abstractNumId w:val="7"/>
  </w:num>
  <w:num w:numId="8" w16cid:durableId="613639218">
    <w:abstractNumId w:val="11"/>
  </w:num>
  <w:num w:numId="9" w16cid:durableId="366490284">
    <w:abstractNumId w:val="1"/>
  </w:num>
  <w:num w:numId="10" w16cid:durableId="2093162907">
    <w:abstractNumId w:val="8"/>
  </w:num>
  <w:num w:numId="11" w16cid:durableId="1648631722">
    <w:abstractNumId w:val="0"/>
  </w:num>
  <w:num w:numId="12" w16cid:durableId="8830995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232"/>
    <w:rsid w:val="000106CB"/>
    <w:rsid w:val="000158BC"/>
    <w:rsid w:val="000309EC"/>
    <w:rsid w:val="00035E04"/>
    <w:rsid w:val="000441D9"/>
    <w:rsid w:val="00045AA3"/>
    <w:rsid w:val="00045E63"/>
    <w:rsid w:val="000533D2"/>
    <w:rsid w:val="00055CE1"/>
    <w:rsid w:val="00056664"/>
    <w:rsid w:val="00070597"/>
    <w:rsid w:val="0007640A"/>
    <w:rsid w:val="00077A9A"/>
    <w:rsid w:val="000863B5"/>
    <w:rsid w:val="00092A97"/>
    <w:rsid w:val="00096DEC"/>
    <w:rsid w:val="0009795E"/>
    <w:rsid w:val="000B34FE"/>
    <w:rsid w:val="000C5D89"/>
    <w:rsid w:val="000D630E"/>
    <w:rsid w:val="000D7275"/>
    <w:rsid w:val="000F440B"/>
    <w:rsid w:val="00101E01"/>
    <w:rsid w:val="0011460F"/>
    <w:rsid w:val="00131473"/>
    <w:rsid w:val="00150361"/>
    <w:rsid w:val="001560F9"/>
    <w:rsid w:val="001725A5"/>
    <w:rsid w:val="001757C3"/>
    <w:rsid w:val="00176DD3"/>
    <w:rsid w:val="001A2861"/>
    <w:rsid w:val="001B5EA9"/>
    <w:rsid w:val="001C2990"/>
    <w:rsid w:val="001D1B5E"/>
    <w:rsid w:val="001D66A4"/>
    <w:rsid w:val="001F4B43"/>
    <w:rsid w:val="001F7FD0"/>
    <w:rsid w:val="00202FF0"/>
    <w:rsid w:val="0020383B"/>
    <w:rsid w:val="002206E7"/>
    <w:rsid w:val="00250223"/>
    <w:rsid w:val="00260FAC"/>
    <w:rsid w:val="00261B0F"/>
    <w:rsid w:val="00271227"/>
    <w:rsid w:val="0027208B"/>
    <w:rsid w:val="002765B8"/>
    <w:rsid w:val="00286B30"/>
    <w:rsid w:val="002B6527"/>
    <w:rsid w:val="002C0DFC"/>
    <w:rsid w:val="002D3773"/>
    <w:rsid w:val="002E2F45"/>
    <w:rsid w:val="002E5FEA"/>
    <w:rsid w:val="002E6009"/>
    <w:rsid w:val="002F51A5"/>
    <w:rsid w:val="002F5628"/>
    <w:rsid w:val="00303F31"/>
    <w:rsid w:val="003332D9"/>
    <w:rsid w:val="00352FA2"/>
    <w:rsid w:val="003546CC"/>
    <w:rsid w:val="00360680"/>
    <w:rsid w:val="00365DC7"/>
    <w:rsid w:val="00371BE0"/>
    <w:rsid w:val="00395BB0"/>
    <w:rsid w:val="003A62CE"/>
    <w:rsid w:val="003C377A"/>
    <w:rsid w:val="003D11F3"/>
    <w:rsid w:val="003E18CC"/>
    <w:rsid w:val="0040074B"/>
    <w:rsid w:val="00400ADE"/>
    <w:rsid w:val="0041414B"/>
    <w:rsid w:val="004335EB"/>
    <w:rsid w:val="004409E4"/>
    <w:rsid w:val="00456EA5"/>
    <w:rsid w:val="00464EAF"/>
    <w:rsid w:val="00475DF4"/>
    <w:rsid w:val="00491F6A"/>
    <w:rsid w:val="00495534"/>
    <w:rsid w:val="004E3C9A"/>
    <w:rsid w:val="004E5EE5"/>
    <w:rsid w:val="004F14D6"/>
    <w:rsid w:val="00510482"/>
    <w:rsid w:val="00523B7C"/>
    <w:rsid w:val="005274DE"/>
    <w:rsid w:val="00530135"/>
    <w:rsid w:val="00530EF8"/>
    <w:rsid w:val="00536F57"/>
    <w:rsid w:val="005470F7"/>
    <w:rsid w:val="005559D3"/>
    <w:rsid w:val="0056179F"/>
    <w:rsid w:val="00574746"/>
    <w:rsid w:val="005A09E6"/>
    <w:rsid w:val="005A0FA5"/>
    <w:rsid w:val="005A5AB8"/>
    <w:rsid w:val="005B1D7E"/>
    <w:rsid w:val="005B5F50"/>
    <w:rsid w:val="005D65A9"/>
    <w:rsid w:val="005E6F83"/>
    <w:rsid w:val="005F553D"/>
    <w:rsid w:val="0060376B"/>
    <w:rsid w:val="00617AE9"/>
    <w:rsid w:val="006205CE"/>
    <w:rsid w:val="00620F85"/>
    <w:rsid w:val="00624AC9"/>
    <w:rsid w:val="006300AD"/>
    <w:rsid w:val="00630473"/>
    <w:rsid w:val="00633966"/>
    <w:rsid w:val="006409BD"/>
    <w:rsid w:val="006434BE"/>
    <w:rsid w:val="00654B66"/>
    <w:rsid w:val="0065792C"/>
    <w:rsid w:val="00666F98"/>
    <w:rsid w:val="00667603"/>
    <w:rsid w:val="006750BD"/>
    <w:rsid w:val="0067693F"/>
    <w:rsid w:val="00677897"/>
    <w:rsid w:val="0069441F"/>
    <w:rsid w:val="006B0498"/>
    <w:rsid w:val="006B0E67"/>
    <w:rsid w:val="006E0F8A"/>
    <w:rsid w:val="006E52EC"/>
    <w:rsid w:val="006E5742"/>
    <w:rsid w:val="00712052"/>
    <w:rsid w:val="00712E15"/>
    <w:rsid w:val="007147FA"/>
    <w:rsid w:val="00716D2E"/>
    <w:rsid w:val="0072114F"/>
    <w:rsid w:val="007232AA"/>
    <w:rsid w:val="00726532"/>
    <w:rsid w:val="00747D45"/>
    <w:rsid w:val="007561CC"/>
    <w:rsid w:val="0076500C"/>
    <w:rsid w:val="00766DBF"/>
    <w:rsid w:val="00770720"/>
    <w:rsid w:val="00777063"/>
    <w:rsid w:val="00792FE1"/>
    <w:rsid w:val="00795C42"/>
    <w:rsid w:val="007962FD"/>
    <w:rsid w:val="007A66E9"/>
    <w:rsid w:val="007A76A0"/>
    <w:rsid w:val="007B0207"/>
    <w:rsid w:val="007B1E93"/>
    <w:rsid w:val="007B2716"/>
    <w:rsid w:val="007C320E"/>
    <w:rsid w:val="007E788B"/>
    <w:rsid w:val="007F0807"/>
    <w:rsid w:val="00801CE1"/>
    <w:rsid w:val="00821098"/>
    <w:rsid w:val="00834348"/>
    <w:rsid w:val="00844272"/>
    <w:rsid w:val="008464F9"/>
    <w:rsid w:val="008708BE"/>
    <w:rsid w:val="008765E9"/>
    <w:rsid w:val="00880EEA"/>
    <w:rsid w:val="00892D86"/>
    <w:rsid w:val="008A210D"/>
    <w:rsid w:val="008A4A54"/>
    <w:rsid w:val="008A6D0F"/>
    <w:rsid w:val="008A7F86"/>
    <w:rsid w:val="008C3686"/>
    <w:rsid w:val="008C7F86"/>
    <w:rsid w:val="008D19C7"/>
    <w:rsid w:val="008D55EC"/>
    <w:rsid w:val="008D5D22"/>
    <w:rsid w:val="008F4D2F"/>
    <w:rsid w:val="008F5686"/>
    <w:rsid w:val="00906574"/>
    <w:rsid w:val="00911DE9"/>
    <w:rsid w:val="0092646A"/>
    <w:rsid w:val="0093093B"/>
    <w:rsid w:val="00951194"/>
    <w:rsid w:val="009776C6"/>
    <w:rsid w:val="0098289A"/>
    <w:rsid w:val="0099024C"/>
    <w:rsid w:val="0099794B"/>
    <w:rsid w:val="009C52BC"/>
    <w:rsid w:val="009D0158"/>
    <w:rsid w:val="009E2332"/>
    <w:rsid w:val="009F243E"/>
    <w:rsid w:val="00A031B8"/>
    <w:rsid w:val="00A1052C"/>
    <w:rsid w:val="00A26023"/>
    <w:rsid w:val="00A2661A"/>
    <w:rsid w:val="00A31456"/>
    <w:rsid w:val="00A410D2"/>
    <w:rsid w:val="00A5774A"/>
    <w:rsid w:val="00A622A1"/>
    <w:rsid w:val="00A6287B"/>
    <w:rsid w:val="00A72E2B"/>
    <w:rsid w:val="00AA0D5A"/>
    <w:rsid w:val="00AA2B9B"/>
    <w:rsid w:val="00AA4964"/>
    <w:rsid w:val="00AA4B57"/>
    <w:rsid w:val="00AB66FF"/>
    <w:rsid w:val="00AC2124"/>
    <w:rsid w:val="00AD1B4C"/>
    <w:rsid w:val="00AE5264"/>
    <w:rsid w:val="00AE65C8"/>
    <w:rsid w:val="00AF1D50"/>
    <w:rsid w:val="00B07AE8"/>
    <w:rsid w:val="00B13A30"/>
    <w:rsid w:val="00B15320"/>
    <w:rsid w:val="00B162C2"/>
    <w:rsid w:val="00B17034"/>
    <w:rsid w:val="00B17B38"/>
    <w:rsid w:val="00B271CD"/>
    <w:rsid w:val="00B31A97"/>
    <w:rsid w:val="00B35617"/>
    <w:rsid w:val="00B621B0"/>
    <w:rsid w:val="00B62C28"/>
    <w:rsid w:val="00B64084"/>
    <w:rsid w:val="00B6444C"/>
    <w:rsid w:val="00B6598D"/>
    <w:rsid w:val="00B66F36"/>
    <w:rsid w:val="00B76575"/>
    <w:rsid w:val="00B87E78"/>
    <w:rsid w:val="00B96F91"/>
    <w:rsid w:val="00BA49E5"/>
    <w:rsid w:val="00BB2BF9"/>
    <w:rsid w:val="00BD1232"/>
    <w:rsid w:val="00BD4115"/>
    <w:rsid w:val="00BF27F0"/>
    <w:rsid w:val="00BF3CF9"/>
    <w:rsid w:val="00BF4B5F"/>
    <w:rsid w:val="00BF77B2"/>
    <w:rsid w:val="00C03F00"/>
    <w:rsid w:val="00C21B36"/>
    <w:rsid w:val="00C51A29"/>
    <w:rsid w:val="00C630EB"/>
    <w:rsid w:val="00C66DF4"/>
    <w:rsid w:val="00C67A21"/>
    <w:rsid w:val="00C67FAD"/>
    <w:rsid w:val="00C708AB"/>
    <w:rsid w:val="00C7124C"/>
    <w:rsid w:val="00C72D6B"/>
    <w:rsid w:val="00C772FE"/>
    <w:rsid w:val="00C815F6"/>
    <w:rsid w:val="00C81E52"/>
    <w:rsid w:val="00C96347"/>
    <w:rsid w:val="00CA3F51"/>
    <w:rsid w:val="00CC2A9D"/>
    <w:rsid w:val="00CC772D"/>
    <w:rsid w:val="00CD06C1"/>
    <w:rsid w:val="00CD5C93"/>
    <w:rsid w:val="00CE617B"/>
    <w:rsid w:val="00D060AE"/>
    <w:rsid w:val="00D06538"/>
    <w:rsid w:val="00D07B20"/>
    <w:rsid w:val="00D1131A"/>
    <w:rsid w:val="00D17977"/>
    <w:rsid w:val="00D17A89"/>
    <w:rsid w:val="00D206A1"/>
    <w:rsid w:val="00D2343C"/>
    <w:rsid w:val="00D3468A"/>
    <w:rsid w:val="00D35906"/>
    <w:rsid w:val="00D62ACC"/>
    <w:rsid w:val="00D77675"/>
    <w:rsid w:val="00D978A4"/>
    <w:rsid w:val="00DA0762"/>
    <w:rsid w:val="00DA5B02"/>
    <w:rsid w:val="00DB0286"/>
    <w:rsid w:val="00DD25F3"/>
    <w:rsid w:val="00DD50FD"/>
    <w:rsid w:val="00DE736C"/>
    <w:rsid w:val="00E020BE"/>
    <w:rsid w:val="00E266A1"/>
    <w:rsid w:val="00E32140"/>
    <w:rsid w:val="00E406AA"/>
    <w:rsid w:val="00E43B12"/>
    <w:rsid w:val="00E43D45"/>
    <w:rsid w:val="00E447BD"/>
    <w:rsid w:val="00E6067B"/>
    <w:rsid w:val="00E621D8"/>
    <w:rsid w:val="00E63228"/>
    <w:rsid w:val="00E749EC"/>
    <w:rsid w:val="00E83B2D"/>
    <w:rsid w:val="00E85E58"/>
    <w:rsid w:val="00E9397C"/>
    <w:rsid w:val="00EA2330"/>
    <w:rsid w:val="00EA449E"/>
    <w:rsid w:val="00EC754A"/>
    <w:rsid w:val="00ED17E1"/>
    <w:rsid w:val="00EE12A6"/>
    <w:rsid w:val="00EE3B47"/>
    <w:rsid w:val="00EF115C"/>
    <w:rsid w:val="00EF14EF"/>
    <w:rsid w:val="00EF1AC4"/>
    <w:rsid w:val="00EF535A"/>
    <w:rsid w:val="00EF6BC5"/>
    <w:rsid w:val="00F128F7"/>
    <w:rsid w:val="00F22DD5"/>
    <w:rsid w:val="00F2336B"/>
    <w:rsid w:val="00F70F5B"/>
    <w:rsid w:val="00F71377"/>
    <w:rsid w:val="00F812A4"/>
    <w:rsid w:val="00F8529E"/>
    <w:rsid w:val="00F91516"/>
    <w:rsid w:val="00F96F79"/>
    <w:rsid w:val="00FB6294"/>
    <w:rsid w:val="00FB7A5D"/>
    <w:rsid w:val="00FD1AD7"/>
    <w:rsid w:val="00FF0EE4"/>
    <w:rsid w:val="00FF3D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A943A"/>
  <w15:chartTrackingRefBased/>
  <w15:docId w15:val="{653318F1-50BD-4094-BDBF-B49A3919E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tillium Web" w:eastAsiaTheme="minorHAnsi" w:hAnsi="Titillium Web"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D123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D1232"/>
  </w:style>
  <w:style w:type="paragraph" w:styleId="Piedepgina">
    <w:name w:val="footer"/>
    <w:basedOn w:val="Normal"/>
    <w:link w:val="PiedepginaCar"/>
    <w:uiPriority w:val="99"/>
    <w:unhideWhenUsed/>
    <w:rsid w:val="00BD123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D1232"/>
  </w:style>
  <w:style w:type="character" w:customStyle="1" w:styleId="Fuentedeprrafopredeter1">
    <w:name w:val="Fuente de párrafo predeter.1"/>
    <w:rsid w:val="00056664"/>
  </w:style>
  <w:style w:type="table" w:styleId="Tablaconcuadrcula">
    <w:name w:val="Table Grid"/>
    <w:basedOn w:val="Tablanormal"/>
    <w:uiPriority w:val="39"/>
    <w:rsid w:val="006300AD"/>
    <w:pPr>
      <w:spacing w:after="0" w:line="240" w:lineRule="auto"/>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D9E9FF"/>
    </w:tcPr>
    <w:tblStylePr w:type="band1Horz">
      <w:tblPr/>
      <w:tcPr>
        <w:shd w:val="clear" w:color="auto" w:fill="E6F2F0"/>
      </w:tcPr>
    </w:tblStylePr>
  </w:style>
  <w:style w:type="table" w:styleId="Tablanormal3">
    <w:name w:val="Plain Table 3"/>
    <w:basedOn w:val="Tablanormal"/>
    <w:uiPriority w:val="43"/>
    <w:rsid w:val="006300A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Prrafodelista">
    <w:name w:val="List Paragraph"/>
    <w:basedOn w:val="Normal"/>
    <w:qFormat/>
    <w:rsid w:val="00400ADE"/>
    <w:pPr>
      <w:spacing w:after="0" w:line="240" w:lineRule="auto"/>
      <w:ind w:left="720"/>
    </w:pPr>
    <w:rPr>
      <w:rFonts w:ascii="Calibri" w:hAnsi="Calibri" w:cs="Times New Roman"/>
    </w:rPr>
  </w:style>
  <w:style w:type="table" w:styleId="Tablaconcuadrculaclara">
    <w:name w:val="Grid Table Light"/>
    <w:basedOn w:val="Tablanormal"/>
    <w:uiPriority w:val="40"/>
    <w:rsid w:val="00035E0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1clara">
    <w:name w:val="Grid Table 1 Light"/>
    <w:basedOn w:val="Tablanormal"/>
    <w:uiPriority w:val="46"/>
    <w:rsid w:val="00035E0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D17A8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17A89"/>
    <w:rPr>
      <w:rFonts w:ascii="Segoe UI" w:hAnsi="Segoe UI" w:cs="Segoe UI"/>
      <w:sz w:val="18"/>
      <w:szCs w:val="18"/>
    </w:rPr>
  </w:style>
  <w:style w:type="character" w:styleId="Hipervnculo">
    <w:name w:val="Hyperlink"/>
    <w:basedOn w:val="Fuentedeprrafopredeter"/>
    <w:uiPriority w:val="99"/>
    <w:unhideWhenUsed/>
    <w:rsid w:val="00C708AB"/>
    <w:rPr>
      <w:color w:val="0563C1" w:themeColor="hyperlink"/>
      <w:u w:val="single"/>
    </w:rPr>
  </w:style>
  <w:style w:type="character" w:styleId="Mencinsinresolver">
    <w:name w:val="Unresolved Mention"/>
    <w:basedOn w:val="Fuentedeprrafopredeter"/>
    <w:uiPriority w:val="99"/>
    <w:semiHidden/>
    <w:unhideWhenUsed/>
    <w:rsid w:val="00C708AB"/>
    <w:rPr>
      <w:color w:val="605E5C"/>
      <w:shd w:val="clear" w:color="auto" w:fill="E1DFDD"/>
    </w:rPr>
  </w:style>
  <w:style w:type="character" w:styleId="Hipervnculovisitado">
    <w:name w:val="FollowedHyperlink"/>
    <w:basedOn w:val="Fuentedeprrafopredeter"/>
    <w:uiPriority w:val="99"/>
    <w:semiHidden/>
    <w:unhideWhenUsed/>
    <w:rsid w:val="005559D3"/>
    <w:rPr>
      <w:color w:val="954F72" w:themeColor="followedHyperlink"/>
      <w:u w:val="single"/>
    </w:rPr>
  </w:style>
  <w:style w:type="paragraph" w:customStyle="1" w:styleId="CuerpoA">
    <w:name w:val="Cuerpo A"/>
    <w:rsid w:val="00B76575"/>
    <w:pPr>
      <w:pBdr>
        <w:top w:val="nil"/>
        <w:left w:val="nil"/>
        <w:bottom w:val="nil"/>
        <w:right w:val="nil"/>
        <w:between w:val="nil"/>
        <w:bar w:val="nil"/>
      </w:pBdr>
    </w:pPr>
    <w:rPr>
      <w:rFonts w:ascii="Calibri" w:eastAsia="Arial Unicode MS" w:hAnsi="Calibri" w:cs="Arial Unicode MS"/>
      <w:color w:val="000000"/>
      <w:u w:color="000000"/>
      <w:bdr w:val="nil"/>
      <w:lang w:val="es-ES_tradnl" w:eastAsia="es-ES"/>
      <w14:textOutline w14:w="12700" w14:cap="flat" w14:cmpd="sng" w14:algn="ctr">
        <w14:noFill/>
        <w14:prstDash w14:val="solid"/>
        <w14:miter w14:lim="400000"/>
      </w14:textOutline>
    </w:rPr>
  </w:style>
  <w:style w:type="character" w:customStyle="1" w:styleId="Ninguno">
    <w:name w:val="Ninguno"/>
    <w:rsid w:val="00B76575"/>
    <w:rPr>
      <w:lang w:val="es-ES_tradnl"/>
    </w:rPr>
  </w:style>
  <w:style w:type="numbering" w:customStyle="1" w:styleId="Estiloimportado1">
    <w:name w:val="Estilo importado 1"/>
    <w:rsid w:val="00B76575"/>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689104">
      <w:bodyDiv w:val="1"/>
      <w:marLeft w:val="0"/>
      <w:marRight w:val="0"/>
      <w:marTop w:val="0"/>
      <w:marBottom w:val="0"/>
      <w:divBdr>
        <w:top w:val="none" w:sz="0" w:space="0" w:color="auto"/>
        <w:left w:val="none" w:sz="0" w:space="0" w:color="auto"/>
        <w:bottom w:val="none" w:sz="0" w:space="0" w:color="auto"/>
        <w:right w:val="none" w:sz="0" w:space="0" w:color="auto"/>
      </w:divBdr>
    </w:div>
    <w:div w:id="126965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hyperlink" Target="https://twitter.com/OMC_Espana" TargetMode="External"/><Relationship Id="rId7" Type="http://schemas.openxmlformats.org/officeDocument/2006/relationships/hyperlink" Target="https://www.youtube.com/user/OMCtelevision" TargetMode="External"/><Relationship Id="rId12" Type="http://schemas.openxmlformats.org/officeDocument/2006/relationships/image" Target="media/image8.png"/><Relationship Id="rId2" Type="http://schemas.openxmlformats.org/officeDocument/2006/relationships/image" Target="media/image2.png"/><Relationship Id="rId1" Type="http://schemas.openxmlformats.org/officeDocument/2006/relationships/hyperlink" Target="https://www.facebook.com/OrganizacionMedicaColegial" TargetMode="External"/><Relationship Id="rId6" Type="http://schemas.openxmlformats.org/officeDocument/2006/relationships/image" Target="media/image4.png"/><Relationship Id="rId11" Type="http://schemas.openxmlformats.org/officeDocument/2006/relationships/image" Target="media/image7.png"/><Relationship Id="rId5" Type="http://schemas.openxmlformats.org/officeDocument/2006/relationships/hyperlink" Target="https://www.instagram.com/omc_espana/" TargetMode="External"/><Relationship Id="rId10" Type="http://schemas.openxmlformats.org/officeDocument/2006/relationships/image" Target="media/image6.jpeg"/><Relationship Id="rId4" Type="http://schemas.openxmlformats.org/officeDocument/2006/relationships/image" Target="media/image3.png"/><Relationship Id="rId9" Type="http://schemas.openxmlformats.org/officeDocument/2006/relationships/hyperlink" Target="https://www.linkedin.com/company/organizaci&#243;n-m&#233;dica-colegi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4A252-FCC2-4C19-9711-7E749FE5F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705</Words>
  <Characters>3881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Plaza de las Cortes, 11- 28014 Madrid - Departamento de Comunicación -  prensa@cgcom.es - Telf: 91 431 77 80 Ext. 5</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 Perez</dc:creator>
  <cp:keywords/>
  <dc:description/>
  <cp:lastModifiedBy>agarcia</cp:lastModifiedBy>
  <cp:revision>5</cp:revision>
  <cp:lastPrinted>2022-05-26T06:35:00Z</cp:lastPrinted>
  <dcterms:created xsi:type="dcterms:W3CDTF">2024-01-30T12:53:00Z</dcterms:created>
  <dcterms:modified xsi:type="dcterms:W3CDTF">2024-01-30T13:58:00Z</dcterms:modified>
</cp:coreProperties>
</file>